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 w:val="0"/>
          <w:bCs w:val="0"/>
          <w:sz w:val="26"/>
          <w:szCs w:val="26"/>
          <w:highlight w:val="none"/>
        </w:rPr>
      </w:pP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eastAsia="Tinos" w:cs="Tinos"/>
          <w:b/>
          <w:bCs/>
          <w:sz w:val="26"/>
          <w:szCs w:val="26"/>
          <w:highlight w:val="none"/>
        </w:rPr>
        <w:t xml:space="preserve">Eдиновременная денежная  выплата ЖЕНЩИНАМ, родившим ПЕРВОГО ребенка в возрасте  от  18 до 25 (включительно) лет</w:t>
      </w:r>
      <w:r>
        <w:rPr>
          <w:rFonts w:ascii="Tinos" w:hAnsi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  <w:highlight w:val="none"/>
        </w:rPr>
      </w:r>
    </w:p>
    <w:tbl>
      <w:tblPr>
        <w:tblStyle w:val="708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П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остановление Правительства Самарской области 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от 18.12.2023 г.    № 1060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 «Об установлении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/>
                <w:sz w:val="20"/>
                <w:szCs w:val="20"/>
              </w:rPr>
              <w:t xml:space="preserve">отдельных расходных обязательств Самарской области в сфере развития социальной защиты населения в Самарской области и утверждении порядков (положений) о предоставлении (назначении) отдельных видов социальных выплат»</w:t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</w:rPr>
              <w:t xml:space="preserve"> Приказ министерства социально демографической и семейной политики Самарской области от 05.11.2024 № 821 «Об утверждении Порядка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единовременной денежной  выплаты  женщинам, родившим первого  ребенка в возрасте  от  18 до 25 (включительно) лет»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</w:r>
          </w:p>
          <w:p>
            <w:pPr>
              <w:pStyle w:val="855"/>
              <w:jc w:val="both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     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Приказ министерства  от 16.04.2025 №220 «Об утверждении Административного регламента по предоставлению государственной услуги «Предоставление 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е</w:t>
            </w: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диновременной  денежной   выплаты женщинам, родившим первого ребенка в возрасте  от  18 до 25 (включительно) лет»</w:t>
            </w:r>
            <w:r>
              <w:rPr>
                <w:sz w:val="20"/>
                <w:szCs w:val="20"/>
              </w:rPr>
            </w:r>
            <w:r>
              <w:rPr>
                <w:rFonts w:ascii="Tinos" w:hAnsi="Tinos" w:cs="Tinos"/>
                <w:b w:val="0"/>
                <w:bCs w:val="0"/>
                <w:sz w:val="20"/>
                <w:szCs w:val="20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100 000 рублей при условии обращения за её назначением не позднее одного года со дня рождения первого ребенка.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Право на выплату имеют полностью дееспособные женщины, имеющие гражданство Российской Федерации и место жительства (пребывания) на территории Самарской области,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родившие первого ребенка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в возрасте       от  18 до 25 (включительно) лет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начиная с 01.09.2024.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через социальный портал 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c  сайта министерства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  <w:t xml:space="preserve">https://minsocdem.samregion.ru/portal/statement/create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после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        *1.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Документ (сведения), удостоверяющие личность заявителя;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2.Сведения о рождении ребенка и наличии у него гражданства РФ;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*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сведения о  рождении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ребенка в случае регис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т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рации записи соответствующего акта компетентным органом иностранного государства и наличием у него гражданства Российской Федерации.  К документам, оформленным на иностранных языках, должны быть приложены их нотариально заверенные переводы на русский язык;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.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Сведения о регистрации по месту жительства  или пребывания  на территории Самарской области заявителя;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  <w:szCs w:val="24"/>
              </w:rPr>
              <w:t xml:space="preserve">       </w:t>
            </w:r>
            <w:r>
              <w:rPr>
                <w:rFonts w:ascii="Tinos" w:hAnsi="Tinos" w:cs="Tinos"/>
                <w:sz w:val="24"/>
                <w:szCs w:val="24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nos" w:hAnsi="Tinos" w:cs="Tinos"/>
                <w:sz w:val="24"/>
                <w:szCs w:val="24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фактическое пребывание (прожив</w:t>
            </w:r>
            <w:r>
              <w:rPr>
                <w:rFonts w:ascii="Tinos" w:hAnsi="Tinos" w:cs="Tinos"/>
                <w:sz w:val="24"/>
                <w:szCs w:val="24"/>
              </w:rPr>
              <w:t xml:space="preserve">ан</w:t>
            </w:r>
            <w:r>
              <w:rPr>
                <w:rFonts w:ascii="Tinos" w:hAnsi="Tinos" w:cs="Tinos"/>
                <w:sz w:val="24"/>
                <w:szCs w:val="24"/>
              </w:rPr>
              <w:t xml:space="preserve">ие) на террит</w:t>
            </w:r>
            <w:r>
              <w:rPr>
                <w:rFonts w:ascii="Tinos" w:hAnsi="Tinos" w:cs="Tinos"/>
                <w:sz w:val="24"/>
                <w:szCs w:val="24"/>
              </w:rPr>
              <w:t xml:space="preserve">ории Самарской области: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4. СНИЛС заявителя и ребенка;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cs="Tinos"/>
                <w:sz w:val="24"/>
                <w:szCs w:val="24"/>
                <w:highlight w:val="none"/>
              </w:rPr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5. Сведения об отсутствии факта лишения (огр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аничения, восстановления) родительских прав, об отмене ограничения родительских прав, отобрания ребенка при непосредственной угрозе его жизни или здоровью, об установлении над ребенком опеки (попечительства),передача ребенка на воспитание в приемную семью (с СФР);</w:t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cs="Tinos"/>
                <w:sz w:val="24"/>
                <w:szCs w:val="24"/>
                <w:highlight w:val="none"/>
              </w:rPr>
            </w:r>
          </w:p>
          <w:p>
            <w:pPr>
              <w:ind w:left="0" w:firstLine="0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ff0000"/>
                <w:sz w:val="24"/>
                <w:szCs w:val="24"/>
                <w:highlight w:val="none"/>
                <w:u w:val="single"/>
              </w:rPr>
            </w:pPr>
            <w:r>
              <w:rPr>
                <w:rFonts w:ascii="Tinos" w:hAnsi="Tinos" w:cs="Tinos"/>
                <w:sz w:val="24"/>
                <w:szCs w:val="24"/>
                <w:highlight w:val="none"/>
              </w:rPr>
              <w:t xml:space="preserve">6. Сведения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о не</w:t>
            </w:r>
            <w:r>
              <w:rPr>
                <w:rFonts w:ascii="Tinos" w:hAnsi="Tinos" w:eastAsia="Tinos" w:cs="Tinos"/>
                <w:sz w:val="24"/>
                <w:szCs w:val="24"/>
                <w:u w:val="none"/>
              </w:rPr>
              <w:t xml:space="preserve"> на</w:t>
            </w:r>
            <w:r>
              <w:rPr>
                <w:rFonts w:ascii="Tinos" w:hAnsi="Tinos" w:eastAsia="Tinos" w:cs="Tinos"/>
                <w:sz w:val="24"/>
                <w:szCs w:val="24"/>
                <w:u w:val="none"/>
              </w:rPr>
              <w:t xml:space="preserve">хождении </w:t>
            </w:r>
            <w:r>
              <w:rPr>
                <w:rFonts w:ascii="Tinos" w:hAnsi="Tinos" w:eastAsia="Tinos" w:cs="Tinos"/>
                <w:sz w:val="24"/>
                <w:szCs w:val="24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u w:val="none"/>
              </w:rPr>
              <w:t xml:space="preserve"> </w:t>
            </w:r>
            <w:r>
              <w:rPr>
                <w:rFonts w:ascii="Tinos" w:hAnsi="Tinos" w:eastAsia="Tinos" w:cs="Tinos"/>
                <w:sz w:val="24"/>
                <w:szCs w:val="24"/>
                <w:u w:val="none"/>
              </w:rPr>
              <w:t xml:space="preserve">ребенка</w:t>
            </w:r>
            <w:r>
              <w:rPr>
                <w:rFonts w:ascii="Tinos" w:hAnsi="Tinos" w:eastAsia="Tinos" w:cs="Tinos"/>
                <w:sz w:val="24"/>
                <w:szCs w:val="24"/>
                <w:u w:val="none"/>
              </w:rPr>
              <w:t xml:space="preserve"> на полном государственном обеспечении; </w:t>
            </w:r>
            <w:r>
              <w:rPr>
                <w:rFonts w:ascii="Tinos" w:hAnsi="Tinos" w:cs="Tinos"/>
                <w:color w:val="ff0000"/>
                <w:sz w:val="24"/>
                <w:szCs w:val="24"/>
                <w:highlight w:val="none"/>
                <w:u w:val="single"/>
              </w:rPr>
            </w:r>
            <w:r>
              <w:rPr>
                <w:rFonts w:ascii="Tinos" w:hAnsi="Tinos" w:cs="Tinos"/>
                <w:color w:val="ff0000"/>
                <w:sz w:val="24"/>
                <w:szCs w:val="24"/>
                <w:highlight w:val="none"/>
                <w:u w:val="single"/>
              </w:rPr>
            </w:r>
          </w:p>
          <w:p>
            <w:pPr>
              <w:ind w:firstLine="0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 w:themeColor="text1"/>
                <w:sz w:val="24"/>
                <w:szCs w:val="24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u w:val="none"/>
              </w:rPr>
              <w:t xml:space="preserve">7. С</w:t>
            </w: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u w:val="none"/>
              </w:rPr>
              <w:t xml:space="preserve">ведения о нахождении  ребенка в организации для детей-сирот и детей оставшихся без попечения родителей;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none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highlight w:val="none"/>
                <w:u w:val="single"/>
              </w:rPr>
            </w:r>
          </w:p>
          <w:p>
            <w:pPr>
              <w:ind w:firstLine="0"/>
              <w:jc w:val="both"/>
              <w:spacing w:after="0" w:line="240" w:lineRule="auto"/>
              <w:shd w:val="clear" w:color="auto" w:fill="ffffff"/>
              <w:rPr>
                <w:rFonts w:ascii="Tinos" w:hAnsi="Tinos" w:cs="Tinos"/>
                <w:color w:val="000000" w:themeColor="text1"/>
                <w:sz w:val="24"/>
                <w:szCs w:val="24"/>
                <w:u w:val="single"/>
              </w:rPr>
            </w:pPr>
            <w:r>
              <w:rPr>
                <w:rFonts w:ascii="Tinos" w:hAnsi="Tinos" w:eastAsia="Tinos" w:cs="Tinos"/>
                <w:color w:val="000000" w:themeColor="text1"/>
                <w:sz w:val="24"/>
                <w:szCs w:val="24"/>
                <w:highlight w:val="none"/>
                <w:u w:val="none"/>
              </w:rPr>
              <w:t xml:space="preserve">8. Сведения о постановке ребенка на учет как ребенка, оставшегося без попечения родителей;</w:t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u w:val="single"/>
              </w:rPr>
            </w:r>
            <w:r>
              <w:rPr>
                <w:rFonts w:ascii="Tinos" w:hAnsi="Tinos" w:cs="Tinos"/>
                <w:color w:val="000000" w:themeColor="text1"/>
                <w:sz w:val="24"/>
                <w:szCs w:val="24"/>
                <w:u w:val="singl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9. Сведения о неполучении заявителем такой же выплаты в другом субъекте Российской Федерации.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</w:r>
          </w:p>
          <w:p>
            <w:pPr>
              <w:pStyle w:val="858"/>
              <w:ind w:left="0" w:firstLine="0"/>
              <w:jc w:val="both"/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</w:pP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  <w:t xml:space="preserve">Формируется ЭЛЕКТРОННОЕ дело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  <w:u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Способ получения выплаты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с учетом выбора гражданина: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на счет, открытый в кредитной организации, или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через отделения почтовой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 связи по месту жительства  </w:t>
            </w: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Срок принятия решения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Не позднее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второго рабочего дня </w:t>
            </w:r>
            <w:r>
              <w:rPr>
                <w:rFonts w:ascii="Tinos" w:hAnsi="Tinos" w:eastAsia="Tinos" w:cs="Tinos"/>
                <w:b/>
                <w:bCs/>
                <w:sz w:val="24"/>
                <w:szCs w:val="24"/>
              </w:rPr>
              <w:t xml:space="preserve"> со дня получения ВСЕХ 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необходимых документов. 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Максимальный срок - 30 дней со дня регистрации заявления с документами, которые заявитель обязан предоставить самостоятельно.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по адресу: 4460180, Самарская область, Большеглушицкий район,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с. Большая Глушица, ул. Гагарина, д.27, каб. 7,15, тел. 8(846 73)  2-13-08, 2-13-07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basedOn w:val="706"/>
    <w:link w:val="704"/>
    <w:uiPriority w:val="99"/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13</cp:revision>
  <dcterms:modified xsi:type="dcterms:W3CDTF">2025-07-21T09:17:22Z</dcterms:modified>
</cp:coreProperties>
</file>